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Title"/>
      </w:pPr>
      <w:r>
        <w:t/>
      </w:r>
      <w:r>
        <w:t xml:space="preserve"/>
      </w:r>
      <w:r>
        <w:t xml:space="preserve">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(long period)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(long period)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</w:tr>
    </w:tbl>
    <w:p>
      <w:r>
        <w:t/>
      </w:r>
    </w:p>
    <w:p>
      <w:r>
        <w:br w:type="page"/>
      </w:r>
    </w:p>
    <w:p>
      <w:pPr>
        <w:pStyle w:val="Title"/>
      </w:pPr>
      <w:r>
        <w:t/>
      </w:r>
      <w:r>
        <w:t xml:space="preserve"/>
      </w:r>
      <w:r>
        <w:t xml:space="preserve">Short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 (short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(short period)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(short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(short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(short period)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(short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(short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96.2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